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New Roman" w:hAnsi="Times New Roman" w:cs="Times New Roman"/>
          <w:b/>
          <w:bCs/>
          <w:color w:val="auto"/>
          <w:sz w:val="28"/>
          <w:szCs w:val="28"/>
        </w:rPr>
        <w:t>CGA NEWS</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New Roman" w:hAnsi="Times New Roman" w:cs="Times New Roman"/>
          <w:color w:val="auto"/>
        </w:rPr>
        <w:t>(12-10-12)</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New Roman" w:hAnsi="Times New Roman" w:cs="Times New Roman"/>
          <w:color w:val="auto"/>
        </w:rPr>
        <w:t>To:       CGA</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New Roman" w:hAnsi="Times New Roman" w:cs="Times New Roman"/>
          <w:color w:val="auto"/>
        </w:rPr>
        <w:t>From:   A۰P۰L۰U Congressional and Governmental Affairs Staff</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w:hAnsi="Times" w:cs="Times New Roman"/>
          <w:color w:val="auto"/>
          <w:sz w:val="20"/>
          <w:szCs w:val="20"/>
        </w:rPr>
        <w:t> </w:t>
      </w:r>
      <w:r w:rsidRPr="003F09FC">
        <w:rPr>
          <w:rFonts w:ascii="Symbol" w:hAnsi="Symbol" w:cs="Times New Roman"/>
          <w:color w:val="auto"/>
        </w:rPr>
        <w:t></w:t>
      </w:r>
      <w:r w:rsidRPr="003F09FC">
        <w:rPr>
          <w:rFonts w:ascii="Times New Roman" w:hAnsi="Times New Roman" w:cs="Times New Roman"/>
          <w:color w:val="auto"/>
          <w:sz w:val="14"/>
          <w:szCs w:val="14"/>
        </w:rPr>
        <w:t xml:space="preserve">                     </w:t>
      </w:r>
      <w:r w:rsidRPr="003F09FC">
        <w:rPr>
          <w:rFonts w:ascii="Times" w:hAnsi="Times" w:cs="Times New Roman"/>
          <w:color w:val="auto"/>
        </w:rPr>
        <w:t>NIH Announces Plan to Strengthen Future of Biomedical Workforce</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Symbol" w:hAnsi="Symbol" w:cs="Times New Roman"/>
          <w:color w:val="auto"/>
        </w:rPr>
        <w:t></w:t>
      </w:r>
      <w:r w:rsidRPr="003F09FC">
        <w:rPr>
          <w:rFonts w:ascii="Times New Roman" w:hAnsi="Times New Roman" w:cs="Times New Roman"/>
          <w:color w:val="auto"/>
          <w:sz w:val="14"/>
          <w:szCs w:val="14"/>
        </w:rPr>
        <w:t xml:space="preserve">                     </w:t>
      </w:r>
      <w:r w:rsidRPr="003F09FC">
        <w:rPr>
          <w:rFonts w:ascii="Times" w:hAnsi="Times" w:cs="Times New Roman"/>
          <w:color w:val="auto"/>
        </w:rPr>
        <w:t>Legislative Activities of Interest this Week</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w:hAnsi="Times" w:cs="Times New Roman"/>
          <w:color w:val="auto"/>
        </w:rPr>
        <w:t> </w:t>
      </w:r>
      <w:r w:rsidRPr="003F09FC">
        <w:rPr>
          <w:rFonts w:ascii="Symbol" w:hAnsi="Symbol" w:cs="Times New Roman"/>
          <w:color w:val="auto"/>
        </w:rPr>
        <w:t></w:t>
      </w:r>
      <w:r w:rsidRPr="003F09FC">
        <w:rPr>
          <w:rFonts w:ascii="Times New Roman" w:hAnsi="Times New Roman" w:cs="Times New Roman"/>
          <w:color w:val="auto"/>
          <w:sz w:val="14"/>
          <w:szCs w:val="14"/>
        </w:rPr>
        <w:t xml:space="preserve">                     </w:t>
      </w:r>
      <w:r w:rsidRPr="003F09FC">
        <w:rPr>
          <w:rFonts w:ascii="Times" w:hAnsi="Times" w:cs="Times New Roman"/>
          <w:color w:val="auto"/>
        </w:rPr>
        <w:t>NIH Announces Plans to Strengthen Future of Biomedical Workforce</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w:hAnsi="Times" w:cs="Times New Roman"/>
          <w:color w:val="auto"/>
        </w:rPr>
        <w:t xml:space="preserve"> At a meeting last week of the National Institutes of Health (NIH) Advisory Committee to the Director (ACD), NIH Director Francis Collins </w:t>
      </w:r>
      <w:r w:rsidRPr="003F09FC">
        <w:rPr>
          <w:rFonts w:ascii="Times" w:hAnsi="Times" w:cs="Times New Roman"/>
          <w:color w:val="auto"/>
        </w:rPr>
        <w:fldChar w:fldCharType="begin"/>
      </w:r>
      <w:r w:rsidRPr="003F09FC">
        <w:rPr>
          <w:rFonts w:ascii="Times" w:hAnsi="Times" w:cs="Times New Roman"/>
          <w:color w:val="auto"/>
        </w:rPr>
        <w:instrText xml:space="preserve"> HYPERLINK "http://www.nih.gov/news/health/dec2012/od-07.htm" \t "_blank" </w:instrText>
      </w:r>
      <w:r w:rsidRPr="003F09FC">
        <w:rPr>
          <w:rFonts w:ascii="Times" w:hAnsi="Times" w:cs="Times New Roman"/>
          <w:color w:val="auto"/>
        </w:rPr>
      </w:r>
      <w:r w:rsidRPr="003F09FC">
        <w:rPr>
          <w:rFonts w:ascii="Times" w:hAnsi="Times" w:cs="Times New Roman"/>
          <w:color w:val="auto"/>
        </w:rPr>
        <w:fldChar w:fldCharType="separate"/>
      </w:r>
      <w:r w:rsidRPr="003F09FC">
        <w:rPr>
          <w:rFonts w:ascii="Times" w:hAnsi="Times" w:cs="Times New Roman"/>
          <w:color w:val="0000FF"/>
          <w:u w:val="single"/>
        </w:rPr>
        <w:t>announced</w:t>
      </w:r>
      <w:r w:rsidRPr="003F09FC">
        <w:rPr>
          <w:rFonts w:ascii="Times" w:hAnsi="Times" w:cs="Times New Roman"/>
          <w:color w:val="auto"/>
        </w:rPr>
        <w:fldChar w:fldCharType="end"/>
      </w:r>
      <w:r w:rsidRPr="003F09FC">
        <w:rPr>
          <w:rFonts w:ascii="Times" w:hAnsi="Times" w:cs="Times New Roman"/>
          <w:color w:val="auto"/>
        </w:rPr>
        <w:t xml:space="preserve"> several initiatives the agency hopes to launch aimed at strengthening the biomedical research workforce, including increasing diversity in the biomedical workforce and developing new mentorship and training programs for post-docs and graduate students.  The new initiatives were developed in response to a </w:t>
      </w:r>
      <w:r w:rsidRPr="003F09FC">
        <w:rPr>
          <w:rFonts w:ascii="Times" w:hAnsi="Times" w:cs="Times New Roman"/>
          <w:color w:val="auto"/>
        </w:rPr>
        <w:fldChar w:fldCharType="begin"/>
      </w:r>
      <w:r w:rsidRPr="003F09FC">
        <w:rPr>
          <w:rFonts w:ascii="Times" w:hAnsi="Times" w:cs="Times New Roman"/>
          <w:color w:val="auto"/>
        </w:rPr>
        <w:instrText xml:space="preserve"> HYPERLINK "http://acd.od.nih.gov/bwf.htm" \t "_blank" </w:instrText>
      </w:r>
      <w:r w:rsidRPr="003F09FC">
        <w:rPr>
          <w:rFonts w:ascii="Times" w:hAnsi="Times" w:cs="Times New Roman"/>
          <w:color w:val="auto"/>
        </w:rPr>
      </w:r>
      <w:r w:rsidRPr="003F09FC">
        <w:rPr>
          <w:rFonts w:ascii="Times" w:hAnsi="Times" w:cs="Times New Roman"/>
          <w:color w:val="auto"/>
        </w:rPr>
        <w:fldChar w:fldCharType="separate"/>
      </w:r>
      <w:r w:rsidRPr="003F09FC">
        <w:rPr>
          <w:rFonts w:ascii="Times" w:hAnsi="Times" w:cs="Times New Roman"/>
          <w:color w:val="0000FF"/>
          <w:u w:val="single"/>
        </w:rPr>
        <w:t>report</w:t>
      </w:r>
      <w:r w:rsidRPr="003F09FC">
        <w:rPr>
          <w:rFonts w:ascii="Times" w:hAnsi="Times" w:cs="Times New Roman"/>
          <w:color w:val="auto"/>
        </w:rPr>
        <w:fldChar w:fldCharType="end"/>
      </w:r>
      <w:r w:rsidRPr="003F09FC">
        <w:rPr>
          <w:rFonts w:ascii="Times" w:hAnsi="Times" w:cs="Times New Roman"/>
          <w:color w:val="auto"/>
        </w:rPr>
        <w:t xml:space="preserve"> released this summer from the ACD Biomedical Workforce Task Force.  </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w:hAnsi="Times" w:cs="Times New Roman"/>
          <w:color w:val="auto"/>
        </w:rPr>
        <w:t> </w:t>
      </w:r>
      <w:r w:rsidRPr="003F09FC">
        <w:rPr>
          <w:rFonts w:ascii="Symbol" w:hAnsi="Symbol" w:cs="Times New Roman"/>
          <w:color w:val="auto"/>
        </w:rPr>
        <w:t></w:t>
      </w:r>
      <w:r w:rsidRPr="003F09FC">
        <w:rPr>
          <w:rFonts w:ascii="Times New Roman" w:hAnsi="Times New Roman" w:cs="Times New Roman"/>
          <w:color w:val="auto"/>
          <w:sz w:val="14"/>
          <w:szCs w:val="14"/>
        </w:rPr>
        <w:t xml:space="preserve">                     </w:t>
      </w:r>
      <w:r w:rsidRPr="003F09FC">
        <w:rPr>
          <w:rFonts w:ascii="Times" w:hAnsi="Times" w:cs="Times New Roman"/>
          <w:color w:val="auto"/>
        </w:rPr>
        <w:t>Legislative Activities of Interest this Week</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New Roman" w:hAnsi="Times New Roman" w:cs="Times New Roman"/>
          <w:color w:val="auto"/>
        </w:rPr>
        <w:t> </w:t>
      </w:r>
      <w:r w:rsidRPr="003F09FC">
        <w:rPr>
          <w:rFonts w:ascii="Times New Roman" w:hAnsi="Times New Roman" w:cs="Times New Roman"/>
          <w:color w:val="auto"/>
          <w:u w:val="single"/>
        </w:rPr>
        <w:t>Floor Activities</w:t>
      </w:r>
    </w:p>
    <w:p w:rsidR="003F09FC" w:rsidRDefault="003F09FC" w:rsidP="003F09FC">
      <w:pPr>
        <w:spacing w:before="100" w:beforeAutospacing="1" w:after="100" w:afterAutospacing="1"/>
        <w:rPr>
          <w:rFonts w:ascii="Times New Roman" w:hAnsi="Times New Roman" w:cs="Times New Roman"/>
          <w:color w:val="auto"/>
        </w:rPr>
      </w:pPr>
      <w:r w:rsidRPr="003F09FC">
        <w:rPr>
          <w:rFonts w:ascii="Times New Roman" w:hAnsi="Times New Roman" w:cs="Times New Roman"/>
          <w:color w:val="auto"/>
        </w:rPr>
        <w:t> </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New Roman" w:hAnsi="Times New Roman" w:cs="Times New Roman"/>
          <w:color w:val="auto"/>
        </w:rPr>
        <w:t xml:space="preserve">Tomorrow afternoon, the House is expected to consider a motion to go to conference on HR 4310, the FY 2013 Defense Authorization bill. While Congressional appropriators are hopeful that agreements could be reached, there is still no indication that Congress to ready to move any FY13 appropriations packages. Congressional leadership is focused on the fiscal cliff and moving a disaster aid bill in response to </w:t>
      </w:r>
      <w:proofErr w:type="spellStart"/>
      <w:r w:rsidRPr="003F09FC">
        <w:rPr>
          <w:rFonts w:ascii="Times New Roman" w:hAnsi="Times New Roman" w:cs="Times New Roman"/>
          <w:color w:val="auto"/>
        </w:rPr>
        <w:t>superstorm</w:t>
      </w:r>
      <w:proofErr w:type="spellEnd"/>
      <w:r w:rsidRPr="003F09FC">
        <w:rPr>
          <w:rFonts w:ascii="Times New Roman" w:hAnsi="Times New Roman" w:cs="Times New Roman"/>
          <w:color w:val="auto"/>
        </w:rPr>
        <w:t xml:space="preserve"> Sandy. </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w:hAnsi="Times" w:cs="Times New Roman"/>
          <w:color w:val="auto"/>
          <w:sz w:val="20"/>
          <w:szCs w:val="20"/>
        </w:rPr>
        <w:t> </w:t>
      </w:r>
      <w:r w:rsidRPr="003F09FC">
        <w:rPr>
          <w:rFonts w:ascii="Times New Roman" w:hAnsi="Times New Roman" w:cs="Times New Roman"/>
          <w:color w:val="auto"/>
          <w:u w:val="single"/>
        </w:rPr>
        <w:t>Committee Activities</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New Roman" w:hAnsi="Times New Roman" w:cs="Times New Roman"/>
          <w:color w:val="auto"/>
        </w:rPr>
        <w:t> </w:t>
      </w:r>
      <w:r w:rsidRPr="003F09FC">
        <w:rPr>
          <w:rFonts w:ascii="Symbol" w:hAnsi="Symbol" w:cs="Times New Roman"/>
          <w:color w:val="auto"/>
        </w:rPr>
        <w:t></w:t>
      </w:r>
      <w:r w:rsidRPr="003F09FC">
        <w:rPr>
          <w:rFonts w:ascii="Times New Roman" w:hAnsi="Times New Roman" w:cs="Times New Roman"/>
          <w:color w:val="auto"/>
          <w:sz w:val="14"/>
          <w:szCs w:val="14"/>
        </w:rPr>
        <w:t xml:space="preserve">         </w:t>
      </w:r>
      <w:r w:rsidRPr="003F09FC">
        <w:rPr>
          <w:rFonts w:ascii="Times" w:hAnsi="Times" w:cs="Times New Roman"/>
          <w:color w:val="auto"/>
        </w:rPr>
        <w:t>Wednesday, December 12</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New Roman" w:hAnsi="Times New Roman" w:cs="Times New Roman"/>
          <w:color w:val="auto"/>
        </w:rPr>
        <w:t> House Science, Space &amp; Technology Committee</w:t>
      </w:r>
    </w:p>
    <w:p w:rsidR="003F09FC" w:rsidRPr="003F09FC" w:rsidRDefault="003F09FC" w:rsidP="003F09FC">
      <w:pPr>
        <w:spacing w:before="100" w:beforeAutospacing="1" w:after="100" w:afterAutospacing="1"/>
        <w:ind w:left="720"/>
        <w:rPr>
          <w:rFonts w:ascii="Times" w:hAnsi="Times" w:cs="Times New Roman"/>
          <w:color w:val="auto"/>
          <w:sz w:val="20"/>
          <w:szCs w:val="20"/>
        </w:rPr>
      </w:pPr>
      <w:r w:rsidRPr="003F09FC">
        <w:rPr>
          <w:rFonts w:ascii="Times New Roman" w:hAnsi="Times New Roman" w:cs="Times New Roman"/>
          <w:color w:val="auto"/>
        </w:rPr>
        <w:t>Full Committee Hearing - The Future of NASA: Perspectives on Strategic Vision for America's Space Program</w:t>
      </w:r>
    </w:p>
    <w:p w:rsidR="003F09FC" w:rsidRPr="003F09FC" w:rsidRDefault="003F09FC" w:rsidP="003F09FC">
      <w:pPr>
        <w:spacing w:before="100" w:beforeAutospacing="1" w:after="100" w:afterAutospacing="1"/>
        <w:ind w:left="720"/>
        <w:rPr>
          <w:rFonts w:ascii="Times" w:hAnsi="Times" w:cs="Times New Roman"/>
          <w:color w:val="auto"/>
          <w:sz w:val="20"/>
          <w:szCs w:val="20"/>
        </w:rPr>
      </w:pPr>
      <w:r w:rsidRPr="003F09FC">
        <w:rPr>
          <w:rFonts w:ascii="Times New Roman" w:hAnsi="Times New Roman" w:cs="Times New Roman"/>
          <w:color w:val="auto"/>
        </w:rPr>
        <w:t>9:30 am, 2318 Rayburn</w:t>
      </w:r>
    </w:p>
    <w:p w:rsidR="003F09FC" w:rsidRPr="003F09FC" w:rsidRDefault="003F09FC" w:rsidP="003F09FC">
      <w:pPr>
        <w:spacing w:before="100" w:beforeAutospacing="1" w:after="100" w:afterAutospacing="1"/>
        <w:rPr>
          <w:rFonts w:ascii="Times" w:hAnsi="Times" w:cs="Times New Roman"/>
          <w:color w:val="auto"/>
          <w:sz w:val="20"/>
          <w:szCs w:val="20"/>
        </w:rPr>
      </w:pPr>
      <w:r w:rsidRPr="003F09FC">
        <w:rPr>
          <w:rFonts w:ascii="Times" w:hAnsi="Times" w:cs="Times New Roman"/>
          <w:color w:val="auto"/>
          <w:sz w:val="20"/>
          <w:szCs w:val="20"/>
        </w:rPr>
        <w:t>  </w:t>
      </w:r>
    </w:p>
    <w:p w:rsidR="003F09FC" w:rsidRPr="003F09FC" w:rsidRDefault="003F09FC" w:rsidP="003F09FC">
      <w:pPr>
        <w:spacing w:before="100" w:beforeAutospacing="1" w:after="100" w:afterAutospacing="1"/>
        <w:jc w:val="center"/>
        <w:rPr>
          <w:rFonts w:ascii="Times" w:hAnsi="Times" w:cs="Times New Roman"/>
          <w:color w:val="auto"/>
          <w:sz w:val="20"/>
          <w:szCs w:val="20"/>
        </w:rPr>
      </w:pPr>
      <w:r w:rsidRPr="003F09FC">
        <w:rPr>
          <w:rFonts w:ascii="Times" w:hAnsi="Times" w:cs="Times New Roman"/>
          <w:color w:val="auto"/>
          <w:sz w:val="16"/>
          <w:szCs w:val="16"/>
        </w:rPr>
        <w:t>Association of Public and Land-grant Universities (APLU)</w:t>
      </w:r>
    </w:p>
    <w:p w:rsidR="003F09FC" w:rsidRPr="003F09FC" w:rsidRDefault="003F09FC" w:rsidP="003F09FC">
      <w:pPr>
        <w:spacing w:before="100" w:beforeAutospacing="1" w:after="100" w:afterAutospacing="1"/>
        <w:jc w:val="center"/>
        <w:rPr>
          <w:rFonts w:ascii="Times" w:hAnsi="Times" w:cs="Times New Roman"/>
          <w:color w:val="auto"/>
          <w:sz w:val="20"/>
          <w:szCs w:val="20"/>
        </w:rPr>
      </w:pPr>
      <w:r w:rsidRPr="003F09FC">
        <w:rPr>
          <w:rFonts w:ascii="Times" w:hAnsi="Times" w:cs="Times New Roman"/>
          <w:color w:val="auto"/>
          <w:sz w:val="16"/>
          <w:szCs w:val="16"/>
        </w:rPr>
        <w:t xml:space="preserve">Follow us on Twitter </w:t>
      </w:r>
      <w:r w:rsidRPr="003F09FC">
        <w:rPr>
          <w:rFonts w:ascii="Times" w:hAnsi="Times" w:cs="Times New Roman"/>
          <w:color w:val="auto"/>
          <w:sz w:val="16"/>
          <w:szCs w:val="16"/>
        </w:rPr>
        <w:fldChar w:fldCharType="begin"/>
      </w:r>
      <w:r w:rsidRPr="003F09FC">
        <w:rPr>
          <w:rFonts w:ascii="Times" w:hAnsi="Times" w:cs="Times New Roman"/>
          <w:color w:val="auto"/>
          <w:sz w:val="16"/>
          <w:szCs w:val="16"/>
        </w:rPr>
        <w:instrText xml:space="preserve"> HYPERLINK "https://twitter.com/APLU_GovAffairs" \t "_blank" </w:instrText>
      </w:r>
      <w:r w:rsidRPr="003F09FC">
        <w:rPr>
          <w:rFonts w:ascii="Times" w:hAnsi="Times" w:cs="Times New Roman"/>
          <w:color w:val="auto"/>
          <w:sz w:val="16"/>
          <w:szCs w:val="16"/>
        </w:rPr>
      </w:r>
      <w:r w:rsidRPr="003F09FC">
        <w:rPr>
          <w:rFonts w:ascii="Times" w:hAnsi="Times" w:cs="Times New Roman"/>
          <w:color w:val="auto"/>
          <w:sz w:val="16"/>
          <w:szCs w:val="16"/>
        </w:rPr>
        <w:fldChar w:fldCharType="separate"/>
      </w:r>
      <w:r w:rsidRPr="003F09FC">
        <w:rPr>
          <w:rFonts w:ascii="Times" w:hAnsi="Times" w:cs="Times New Roman"/>
          <w:color w:val="0000FF"/>
          <w:sz w:val="16"/>
          <w:szCs w:val="16"/>
          <w:u w:val="single"/>
        </w:rPr>
        <w:t>@</w:t>
      </w:r>
      <w:proofErr w:type="spellStart"/>
      <w:r w:rsidRPr="003F09FC">
        <w:rPr>
          <w:rFonts w:ascii="Times" w:hAnsi="Times" w:cs="Times New Roman"/>
          <w:color w:val="0000FF"/>
          <w:sz w:val="16"/>
          <w:szCs w:val="16"/>
          <w:u w:val="single"/>
        </w:rPr>
        <w:t>APLU_GovAffairs</w:t>
      </w:r>
      <w:proofErr w:type="spellEnd"/>
      <w:r w:rsidRPr="003F09FC">
        <w:rPr>
          <w:rFonts w:ascii="Times" w:hAnsi="Times" w:cs="Times New Roman"/>
          <w:color w:val="auto"/>
          <w:sz w:val="16"/>
          <w:szCs w:val="16"/>
        </w:rPr>
        <w:fldChar w:fldCharType="end"/>
      </w:r>
    </w:p>
    <w:p w:rsidR="00D04DB4" w:rsidRDefault="003F09FC" w:rsidP="003F09FC">
      <w:pPr>
        <w:spacing w:before="100" w:beforeAutospacing="1" w:after="100" w:afterAutospacing="1"/>
        <w:jc w:val="center"/>
      </w:pPr>
      <w:r w:rsidRPr="003F09FC">
        <w:rPr>
          <w:rFonts w:ascii="Times" w:hAnsi="Times" w:cs="Times New Roman"/>
          <w:b/>
          <w:bCs/>
          <w:i/>
          <w:iCs/>
          <w:color w:val="007434"/>
          <w:sz w:val="16"/>
          <w:szCs w:val="16"/>
        </w:rPr>
        <w:t>Celebrating 150 years of Learning, Discovery, and Engagement - The Morrill Act 1862-2012</w:t>
      </w:r>
      <w:bookmarkStart w:id="0" w:name="_GoBack"/>
      <w:bookmarkEnd w:id="0"/>
    </w:p>
    <w:sectPr w:rsidR="00D04DB4" w:rsidSect="003F09FC">
      <w:pgSz w:w="12240" w:h="15840"/>
      <w:pgMar w:top="81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FC"/>
    <w:rsid w:val="002B35CC"/>
    <w:rsid w:val="003F09FC"/>
    <w:rsid w:val="00B03FE5"/>
    <w:rsid w:val="00D0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9FC"/>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3F09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9FC"/>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3F0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3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1705</Characters>
  <Application>Microsoft Macintosh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2012-12-10T21:59:00Z</dcterms:created>
  <dcterms:modified xsi:type="dcterms:W3CDTF">2012-12-10T22:01:00Z</dcterms:modified>
</cp:coreProperties>
</file>